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55880</wp:posOffset>
            </wp:positionV>
            <wp:extent cx="3711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2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57150</wp:posOffset>
            </wp:positionV>
            <wp:extent cx="3711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Zevra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9" w:lineRule="exact"/>
        <w:rPr>
          <w:sz w:val="24"/>
          <w:szCs w:val="24"/>
          <w:color w:val="auto"/>
        </w:rPr>
      </w:pPr>
    </w:p>
    <w:tbl>
      <w:tblPr>
        <w:tblLayout w:type="fixed"/>
        <w:tblInd w:w="1340" w:type="dxa"/>
        <w:tblCellMar>
          <w:top w:w="0" w:type="dxa"/>
          <w:left w:w="0" w:type="dxa"/>
          <w:bottom w:w="0" w:type="dxa"/>
          <w:right w:w="0" w:type="dxa"/>
        </w:tblCellMar>
      </w:tblPr>
      <w:tr>
        <w:trPr>
          <w:trHeight w:val="252"/>
        </w:trPr>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40" w:type="dxa"/>
            <w:vAlign w:val="bottom"/>
            <w:gridSpan w:val="2"/>
          </w:tcPr>
          <w:p>
            <w:pPr>
              <w:jc w:val="center"/>
              <w:ind w:left="4838"/>
              <w:spacing w:after="0"/>
              <w:rPr>
                <w:sz w:val="20"/>
                <w:szCs w:val="20"/>
                <w:color w:val="auto"/>
              </w:rPr>
            </w:pPr>
            <w:r>
              <w:rPr>
                <w:rFonts w:ascii="Times New Roman" w:cs="Times New Roman" w:eastAsia="Times New Roman" w:hAnsi="Times New Roman"/>
                <w:sz w:val="18"/>
                <w:szCs w:val="18"/>
                <w:b w:val="1"/>
                <w:bCs w:val="1"/>
                <w:color w:val="auto"/>
              </w:rPr>
              <w:t>20-5894398</w:t>
            </w:r>
          </w:p>
        </w:tc>
      </w:tr>
      <w:tr>
        <w:trPr>
          <w:trHeight w:val="216"/>
        </w:trPr>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State or Other Jurisdiction of</w:t>
            </w:r>
          </w:p>
        </w:tc>
        <w:tc>
          <w:tcPr>
            <w:tcW w:w="6040" w:type="dxa"/>
            <w:vAlign w:val="bottom"/>
            <w:gridSpan w:val="2"/>
          </w:tcPr>
          <w:p>
            <w:pPr>
              <w:jc w:val="center"/>
              <w:ind w:left="483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20"/>
        </w:trPr>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040" w:type="dxa"/>
            <w:vAlign w:val="bottom"/>
            <w:gridSpan w:val="2"/>
          </w:tcPr>
          <w:p>
            <w:pPr>
              <w:jc w:val="center"/>
              <w:ind w:left="483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4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101 Federal Street</w:t>
            </w:r>
          </w:p>
        </w:tc>
      </w:tr>
      <w:tr>
        <w:trPr>
          <w:trHeight w:val="238"/>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4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8"/>
              </w:rPr>
              <w:t>Boston, MA 02110</w:t>
            </w:r>
          </w:p>
        </w:tc>
      </w:tr>
      <w:tr>
        <w:trPr>
          <w:trHeight w:val="81"/>
        </w:trPr>
        <w:tc>
          <w:tcPr>
            <w:tcW w:w="13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r>
      <w:tr>
        <w:trPr>
          <w:trHeight w:val="253"/>
        </w:trPr>
        <w:tc>
          <w:tcPr>
            <w:tcW w:w="1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4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406"/>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Zevra Therapeutics, Inc.</w:t>
            </w:r>
          </w:p>
        </w:tc>
      </w:tr>
      <w:tr>
        <w:trPr>
          <w:trHeight w:val="238"/>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4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Amended and Restated 2014 Equity Incentive Plan</w:t>
            </w:r>
          </w:p>
        </w:tc>
      </w:tr>
      <w:tr>
        <w:trPr>
          <w:trHeight w:val="81"/>
        </w:trPr>
        <w:tc>
          <w:tcPr>
            <w:tcW w:w="13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r>
      <w:tr>
        <w:trPr>
          <w:trHeight w:val="254"/>
        </w:trPr>
        <w:tc>
          <w:tcPr>
            <w:tcW w:w="1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4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r>
    </w:tbl>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Timothy J. Sangiovanni, CPA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Finance and Corporate Controller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1180 Celebration Boulevard, Suite 103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Celebration, FL 34747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57150</wp:posOffset>
            </wp:positionV>
            <wp:extent cx="3711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939-3416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71120</wp:posOffset>
            </wp:positionV>
            <wp:extent cx="3711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Nathan Ajiashvili,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1271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906-1200</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spacing w:after="0" w:line="207" w:lineRule="exact"/>
        <w:tabs>
          <w:tab w:leader="none" w:pos="2040" w:val="left"/>
          <w:tab w:leader="none" w:pos="3680" w:val="left"/>
          <w:tab w:leader="none" w:pos="5620" w:val="left"/>
          <w:tab w:leader="none" w:pos="80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738" w:right="339" w:bottom="1440" w:gutter="0" w:footer="0" w:header="0"/>
        </w:sect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738"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This Registration Statement on Form S-8 is being filed for the purpose of registering an additional 2,274,191 shares of the Registrant’s Common Stock to be issued pursuant to the Registrant’s Amended and Restated 2014 Equity Incentive Plan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A&amp;R 2014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 Registration Statement of the Registrant on Form S-8 relating to the A&amp;R 2014 Plan is effective.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 OF CONTENTS OF REGISTRATION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ON FORM S-8</w:t>
      </w:r>
    </w:p>
    <w:p>
      <w:pPr>
        <w:spacing w:after="0" w:line="207" w:lineRule="exact"/>
        <w:rPr>
          <w:sz w:val="20"/>
          <w:szCs w:val="20"/>
          <w:color w:val="auto"/>
        </w:rPr>
      </w:pPr>
    </w:p>
    <w:p>
      <w:pPr>
        <w:jc w:val="both"/>
        <w:spacing w:after="0" w:line="266" w:lineRule="auto"/>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auto"/>
          </w:rPr>
          <w:t xml:space="preserve">The contents of the Registration Statements on Form S-8 (File Nos. </w:t>
        </w:r>
        <w:r>
          <w:rPr>
            <w:rFonts w:ascii="Times New Roman" w:cs="Times New Roman" w:eastAsia="Times New Roman" w:hAnsi="Times New Roman"/>
            <w:sz w:val="18"/>
            <w:szCs w:val="18"/>
            <w:u w:val="single" w:color="auto"/>
            <w:color w:val="0000EE"/>
          </w:rPr>
          <w:t>333-203703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333-210369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333-216858</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highlight w:val="white"/>
          </w:rPr>
          <w:t>333-224062</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highlight w:val="white"/>
          </w:rPr>
          <w:t>333-230041</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highlight w:val="white"/>
          </w:rPr>
          <w:t>333-236794</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highlight w:val="white"/>
          </w:rPr>
          <w:t>333-</w:t>
        </w:r>
      </w:hyperlink>
      <w:hyperlink r:id="rId14">
        <w:r>
          <w:rPr>
            <w:rFonts w:ascii="Times New Roman" w:cs="Times New Roman" w:eastAsia="Times New Roman" w:hAnsi="Times New Roman"/>
            <w:sz w:val="18"/>
            <w:szCs w:val="18"/>
            <w:u w:val="single" w:color="auto"/>
            <w:color w:val="0000EE"/>
          </w:rPr>
          <w:t>252743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333-257429</w:t>
        </w:r>
      </w:hyperlink>
      <w:hyperlink r:id="rId14">
        <w:r>
          <w:rPr>
            <w:rFonts w:ascii="Times New Roman" w:cs="Times New Roman" w:eastAsia="Times New Roman" w:hAnsi="Times New Roman"/>
            <w:sz w:val="18"/>
            <w:szCs w:val="18"/>
            <w:color w:val="000000"/>
            <w:highlight w:val="white"/>
          </w:rPr>
          <w:t>,</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highlight w:val="white"/>
          </w:rPr>
          <w:t>333-270340</w:t>
        </w:r>
      </w:hyperlink>
      <w:hyperlink r:id="rId14">
        <w:r>
          <w:rPr>
            <w:rFonts w:ascii="Times New Roman" w:cs="Times New Roman" w:eastAsia="Times New Roman" w:hAnsi="Times New Roman"/>
            <w:sz w:val="18"/>
            <w:szCs w:val="18"/>
            <w:color w:val="000000"/>
            <w:highlight w:val="white"/>
          </w:rPr>
          <w:t>,</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highlight w:val="white"/>
          </w:rPr>
          <w:t>333-278444,</w:t>
        </w:r>
        <w:r>
          <w:rPr>
            <w:rFonts w:ascii="Times New Roman" w:cs="Times New Roman" w:eastAsia="Times New Roman" w:hAnsi="Times New Roman"/>
            <w:sz w:val="18"/>
            <w:szCs w:val="18"/>
            <w:u w:val="single" w:color="auto"/>
            <w:color w:val="0000EE"/>
          </w:rPr>
          <w:t xml:space="preserve"> </w:t>
        </w:r>
      </w:hyperlink>
      <w:hyperlink r:id="rId1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FF"/>
          </w:rPr>
          <w:t>333-285760</w:t>
        </w:r>
      </w:hyperlink>
      <w:hyperlink r:id="rId14">
        <w:r>
          <w:rPr>
            <w:rFonts w:ascii="Times New Roman" w:cs="Times New Roman" w:eastAsia="Times New Roman" w:hAnsi="Times New Roman"/>
            <w:sz w:val="18"/>
            <w:szCs w:val="18"/>
            <w:color w:val="000000"/>
          </w:rPr>
          <w:t>), including any amendments thereto, as filed with the Securities and Exchange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Commission (the “</w:t>
      </w:r>
      <w:r>
        <w:rPr>
          <w:rFonts w:ascii="Times New Roman" w:cs="Times New Roman" w:eastAsia="Times New Roman" w:hAnsi="Times New Roman"/>
          <w:sz w:val="18"/>
          <w:szCs w:val="18"/>
          <w:b w:val="1"/>
          <w:bCs w:val="1"/>
          <w:i w:val="1"/>
          <w:iCs w:val="1"/>
          <w:color w:val="000000"/>
        </w:rPr>
        <w:t>Commission</w:t>
      </w:r>
      <w:r>
        <w:rPr>
          <w:rFonts w:ascii="Times New Roman" w:cs="Times New Roman" w:eastAsia="Times New Roman" w:hAnsi="Times New Roman"/>
          <w:sz w:val="18"/>
          <w:szCs w:val="18"/>
          <w:color w:val="000000"/>
        </w:rPr>
        <w:t>”), are incorporated herein by reference and made a part of this Registration Statement.</w:t>
      </w:r>
    </w:p>
    <w:p>
      <w:pPr>
        <w:spacing w:after="0" w:line="270"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630"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80"/>
        <w:spacing w:after="0"/>
        <w:tabs>
          <w:tab w:leader="none" w:pos="52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 of the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500"/>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0">
        <w:r>
          <w:rPr>
            <w:rFonts w:ascii="Times New Roman" w:cs="Times New Roman" w:eastAsia="Times New Roman" w:hAnsi="Times New Roman"/>
            <w:sz w:val="17"/>
            <w:szCs w:val="17"/>
            <w:u w:val="single" w:color="auto"/>
            <w:color w:val="0000EE"/>
          </w:rPr>
          <w:t>Restated Certificate of Incorporation of the Registrant (incorporated by reference to Exhibit 3.1 to the Registrant’s Annual Report on Form</w:t>
        </w:r>
      </w:hyperlink>
    </w:p>
    <w:p>
      <w:pPr>
        <w:spacing w:after="0" w:line="41" w:lineRule="exact"/>
        <w:rPr>
          <w:sz w:val="20"/>
          <w:szCs w:val="20"/>
          <w:color w:val="auto"/>
        </w:rPr>
      </w:pPr>
    </w:p>
    <w:p>
      <w:pPr>
        <w:ind w:left="1220"/>
        <w:spacing w:after="0"/>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10-K (File No. 001-36913) filed on March 9, 2026).</w:t>
        </w:r>
      </w:hyperlink>
    </w:p>
    <w:p>
      <w:pPr>
        <w:spacing w:after="0" w:line="31" w:lineRule="exact"/>
        <w:rPr>
          <w:sz w:val="20"/>
          <w:szCs w:val="20"/>
          <w:color w:val="auto"/>
        </w:rPr>
      </w:pPr>
    </w:p>
    <w:p>
      <w:pPr>
        <w:ind w:left="1220" w:hanging="730"/>
        <w:spacing w:after="0" w:line="281"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21">
        <w:r>
          <w:rPr>
            <w:rFonts w:ascii="Times New Roman" w:cs="Times New Roman" w:eastAsia="Times New Roman" w:hAnsi="Times New Roman"/>
            <w:sz w:val="18"/>
            <w:szCs w:val="18"/>
            <w:u w:val="single" w:color="auto"/>
            <w:color w:val="0000EE"/>
          </w:rPr>
          <w:t>Amended and Restated Bylaws of the Registrant (incorporated by reference to Exhibit 3.2 to the Registrant’s Current Report on Form 8-K</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(File No. 001-36913) filed on February 22, 2024).</w:t>
        </w:r>
      </w:hyperlink>
    </w:p>
    <w:p>
      <w:pPr>
        <w:sectPr>
          <w:pgSz w:w="11900" w:h="16838" w:orient="portrait"/>
          <w:cols w:equalWidth="0" w:num="1">
            <w:col w:w="11220"/>
          </w:cols>
          <w:pgMar w:left="320" w:top="630" w:right="359" w:bottom="1440" w:gutter="0" w:footer="0" w:header="0"/>
        </w:sectPr>
      </w:pP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23.1*</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23.3*</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0000FF"/>
        </w:rPr>
        <w:t>Opinion of Latham and Watkins LLP</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Ernst &amp; Young LLP, Independent Registered Public Accounting Firm.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Consent of Latham &amp; Watkins LLP (included in Exhibit 5.1).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(included on the signature page).</w:t>
      </w:r>
    </w:p>
    <w:p>
      <w:pPr>
        <w:spacing w:after="0" w:line="50" w:lineRule="exact"/>
        <w:rPr>
          <w:sz w:val="20"/>
          <w:szCs w:val="20"/>
          <w:color w:val="auto"/>
        </w:rPr>
      </w:pPr>
    </w:p>
    <w:p>
      <w:pPr>
        <w:sectPr>
          <w:pgSz w:w="11900" w:h="16838" w:orient="portrait"/>
          <w:cols w:equalWidth="0" w:num="2">
            <w:col w:w="820" w:space="400"/>
            <w:col w:w="10000"/>
          </w:cols>
          <w:pgMar w:left="320" w:top="630" w:right="359" w:bottom="1440" w:gutter="0" w:footer="0" w:header="0"/>
          <w:type w:val="continuous"/>
        </w:sectPr>
      </w:pPr>
    </w:p>
    <w:p>
      <w:pPr>
        <w:jc w:val="both"/>
        <w:ind w:left="1220" w:hanging="775"/>
        <w:spacing w:after="0" w:line="281"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2">
        <w:r>
          <w:rPr>
            <w:rFonts w:ascii="Times New Roman" w:cs="Times New Roman" w:eastAsia="Times New Roman" w:hAnsi="Times New Roman"/>
            <w:sz w:val="18"/>
            <w:szCs w:val="18"/>
            <w:u w:val="single" w:color="auto"/>
            <w:color w:val="0000EE"/>
          </w:rPr>
          <w:t>Amended and Restated 2014 Equity Incentive Plan (incorporated by reference to Exhibit 10.4 to the Registrant’s Quarterly Report on</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Form 10-Q (File No. 36913) filed on August 13, 2021).</w:t>
        </w:r>
      </w:hyperlink>
    </w:p>
    <w:p>
      <w:pPr>
        <w:spacing w:after="0" w:line="1" w:lineRule="exact"/>
        <w:rPr>
          <w:sz w:val="20"/>
          <w:szCs w:val="20"/>
          <w:color w:val="auto"/>
        </w:rPr>
      </w:pPr>
    </w:p>
    <w:p>
      <w:pPr>
        <w:jc w:val="both"/>
        <w:ind w:left="1220" w:hanging="775"/>
        <w:spacing w:after="0" w:line="281"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23">
        <w:r>
          <w:rPr>
            <w:rFonts w:ascii="Times New Roman" w:cs="Times New Roman" w:eastAsia="Times New Roman" w:hAnsi="Times New Roman"/>
            <w:sz w:val="18"/>
            <w:szCs w:val="18"/>
            <w:u w:val="single" w:color="auto"/>
            <w:color w:val="0000EE"/>
          </w:rPr>
          <w:t>Form of Stock Option Grant Notice and Stock Option Agreement under 2014 Equity Incentive Plan (incorporated herein by reference to</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Exhibit 10.15 to the Registrant's Registration Statement on Form S-1 (File No. 333-202660) filed on March 11, 2015).</w:t>
        </w:r>
      </w:hyperlink>
    </w:p>
    <w:p>
      <w:pPr>
        <w:spacing w:after="0" w:line="1" w:lineRule="exact"/>
        <w:rPr>
          <w:sz w:val="20"/>
          <w:szCs w:val="20"/>
          <w:color w:val="auto"/>
        </w:rPr>
      </w:pPr>
    </w:p>
    <w:p>
      <w:pPr>
        <w:jc w:val="both"/>
        <w:ind w:left="1220" w:hanging="775"/>
        <w:spacing w:after="0" w:line="266"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r>
        <w:rPr>
          <w:sz w:val="20"/>
          <w:szCs w:val="20"/>
          <w:color w:val="auto"/>
        </w:rPr>
        <w:tab/>
      </w:r>
      <w:hyperlink r:id="rId24">
        <w:r>
          <w:rPr>
            <w:rFonts w:ascii="Times New Roman" w:cs="Times New Roman" w:eastAsia="Times New Roman" w:hAnsi="Times New Roman"/>
            <w:sz w:val="18"/>
            <w:szCs w:val="18"/>
            <w:u w:val="single" w:color="auto"/>
            <w:color w:val="0000EE"/>
          </w:rPr>
          <w:t>Form of Restricted Stock Unit Grant Notice and Restricted Stock Unit Award Agreement under 2014 Equity Incentive Plan (incorporated</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herein by reference to Exhibit 10.16 to the Registrant's Registration Statement on Form S-1 (File No. 333-202660) filed on March 11,</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2015).</w:t>
        </w:r>
      </w:hyperlink>
    </w:p>
    <w:p>
      <w:pPr>
        <w:spacing w:after="0" w:line="14" w:lineRule="exact"/>
        <w:rPr>
          <w:rFonts w:ascii="Times New Roman" w:cs="Times New Roman" w:eastAsia="Times New Roman" w:hAnsi="Times New Roman"/>
          <w:sz w:val="18"/>
          <w:szCs w:val="18"/>
          <w:u w:val="single" w:color="auto"/>
          <w:color w:val="0000EE"/>
        </w:rPr>
      </w:pPr>
    </w:p>
    <w:p>
      <w:pPr>
        <w:jc w:val="both"/>
        <w:ind w:left="1220" w:right="20" w:hanging="775"/>
        <w:spacing w:after="0" w:line="281"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99.4</w:t>
      </w:r>
      <w:r>
        <w:rPr>
          <w:sz w:val="20"/>
          <w:szCs w:val="20"/>
          <w:color w:val="auto"/>
        </w:rPr>
        <w:tab/>
      </w:r>
      <w:hyperlink r:id="rId25">
        <w:r>
          <w:rPr>
            <w:rFonts w:ascii="Times New Roman" w:cs="Times New Roman" w:eastAsia="Times New Roman" w:hAnsi="Times New Roman"/>
            <w:sz w:val="18"/>
            <w:szCs w:val="18"/>
            <w:u w:val="single" w:color="auto"/>
            <w:color w:val="0000EE"/>
          </w:rPr>
          <w:t>Form of Restricted Stock Award Grant Notice and Restricted Stock Award Agreement under 2014 Equity Incentive Plan (incorporated</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herein by reference to Exhibit 10.4 to the Registrant's Quarterly Report on Form 10-Q as filed with the SEC on May 14, 2019).</w:t>
        </w:r>
      </w:hyperlink>
    </w:p>
    <w:p>
      <w:pPr>
        <w:spacing w:after="0" w:line="1" w:lineRule="exact"/>
        <w:rPr>
          <w:sz w:val="20"/>
          <w:szCs w:val="20"/>
          <w:color w:val="auto"/>
        </w:rPr>
      </w:pPr>
    </w:p>
    <w:p>
      <w:pPr>
        <w:ind w:left="360"/>
        <w:spacing w:after="0"/>
        <w:tabs>
          <w:tab w:leader="none" w:pos="1200"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7"/>
          <w:szCs w:val="17"/>
          <w:u w:val="single" w:color="auto"/>
          <w:color w:val="0000EE"/>
        </w:rPr>
        <w:t>Filing Fee Table.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630" w:right="35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Boston, State of Massachusetts, on this 9th day of March, 2026.</w:t>
      </w:r>
    </w:p>
    <w:p>
      <w:pPr>
        <w:spacing w:after="0" w:line="200" w:lineRule="exact"/>
        <w:rPr>
          <w:sz w:val="20"/>
          <w:szCs w:val="20"/>
          <w:color w:val="auto"/>
        </w:rPr>
      </w:pPr>
    </w:p>
    <w:p>
      <w:pPr>
        <w:spacing w:after="0" w:line="28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By:  /s/ Timothy J. Sangiovanni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J. Sangiovanni, CPA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Finance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63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Neil F. McFarlane and Timothy J. Sangiovanni, CPA and each or any one of them, his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630" w:right="339" w:bottom="1440" w:gutter="0" w:footer="0" w:header="0"/>
        </w:sectPr>
      </w:pPr>
    </w:p>
    <w:p>
      <w:pPr>
        <w:spacing w:after="0" w:line="19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685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Neil F. McFarlane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68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Neil F. McFarlane</w:t>
      </w:r>
    </w:p>
    <w:p>
      <w:pPr>
        <w:spacing w:after="0" w:line="266" w:lineRule="exact"/>
        <w:rPr>
          <w:sz w:val="20"/>
          <w:szCs w:val="20"/>
          <w:color w:val="auto"/>
        </w:rPr>
      </w:pPr>
    </w:p>
    <w:p>
      <w:pPr>
        <w:ind w:left="20" w:right="700"/>
        <w:spacing w:after="0" w:line="346" w:lineRule="auto"/>
        <w:rPr>
          <w:sz w:val="20"/>
          <w:szCs w:val="20"/>
          <w:color w:val="auto"/>
        </w:rPr>
      </w:pPr>
      <w:r>
        <w:rPr>
          <w:rFonts w:ascii="Times New Roman" w:cs="Times New Roman" w:eastAsia="Times New Roman" w:hAnsi="Times New Roman"/>
          <w:sz w:val="17"/>
          <w:szCs w:val="17"/>
          <w:color w:val="auto"/>
        </w:rPr>
        <w:t>/s/ Timothy J. Sangiovanni Timothy J. Sangiovanni,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2168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/s/Thomas 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68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D. Anderson</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B. Bode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68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B. Bode</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Douglas W. Calder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68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Douglas W. Calder</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Alicia Secor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68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Alicia Secor</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Tamara A. Favorito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68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Tamara A. Favorito</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Alvin Shih,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68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Alvin Shih, M.D.</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Corey Watton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68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Corey Watton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60" w:type="dxa"/>
            <w:vAlign w:val="bottom"/>
          </w:tcPr>
          <w:p>
            <w:pPr>
              <w:spacing w:after="0"/>
              <w:rPr>
                <w:sz w:val="21"/>
                <w:szCs w:val="21"/>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709"/>
        </w:trPr>
        <w:tc>
          <w:tcPr>
            <w:tcW w:w="4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36"/>
        </w:trPr>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3420" w:type="dxa"/>
            <w:vAlign w:val="bottom"/>
          </w:tcPr>
          <w:p>
            <w:pPr>
              <w:spacing w:after="0"/>
              <w:rPr>
                <w:sz w:val="20"/>
                <w:szCs w:val="20"/>
                <w:color w:val="auto"/>
              </w:rPr>
            </w:pPr>
          </w:p>
        </w:tc>
      </w:tr>
      <w:tr>
        <w:trPr>
          <w:trHeight w:val="481"/>
        </w:trPr>
        <w:tc>
          <w:tcPr>
            <w:tcW w:w="4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Senior Vice President, Finance and Corporate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14"/>
        </w:trPr>
        <w:tc>
          <w:tcPr>
            <w:tcW w:w="4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Controller</w:t>
            </w:r>
          </w:p>
        </w:tc>
        <w:tc>
          <w:tcPr>
            <w:tcW w:w="3420" w:type="dxa"/>
            <w:vAlign w:val="bottom"/>
          </w:tcPr>
          <w:p>
            <w:pPr>
              <w:spacing w:after="0"/>
              <w:rPr>
                <w:sz w:val="18"/>
                <w:szCs w:val="18"/>
                <w:color w:val="auto"/>
              </w:rPr>
            </w:pPr>
          </w:p>
        </w:tc>
      </w:tr>
      <w:tr>
        <w:trPr>
          <w:trHeight w:val="236"/>
        </w:trPr>
        <w:tc>
          <w:tcPr>
            <w:tcW w:w="4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3420" w:type="dxa"/>
            <w:vAlign w:val="bottom"/>
          </w:tcPr>
          <w:p>
            <w:pPr>
              <w:spacing w:after="0"/>
              <w:rPr>
                <w:sz w:val="20"/>
                <w:szCs w:val="20"/>
                <w:color w:val="auto"/>
              </w:rPr>
            </w:pPr>
          </w:p>
        </w:tc>
      </w:tr>
      <w:tr>
        <w:trPr>
          <w:trHeight w:val="486"/>
        </w:trPr>
        <w:tc>
          <w:tcPr>
            <w:tcW w:w="4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689"/>
        </w:trPr>
        <w:tc>
          <w:tcPr>
            <w:tcW w:w="4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729"/>
        </w:trPr>
        <w:tc>
          <w:tcPr>
            <w:tcW w:w="4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729"/>
        </w:trPr>
        <w:tc>
          <w:tcPr>
            <w:tcW w:w="4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688"/>
        </w:trPr>
        <w:tc>
          <w:tcPr>
            <w:tcW w:w="4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689"/>
        </w:trPr>
        <w:tc>
          <w:tcPr>
            <w:tcW w:w="4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688"/>
        </w:trPr>
        <w:tc>
          <w:tcPr>
            <w:tcW w:w="4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bl>
    <w:p>
      <w:pPr>
        <w:spacing w:after="0" w:line="200" w:lineRule="exact"/>
        <w:rPr>
          <w:sz w:val="20"/>
          <w:szCs w:val="20"/>
          <w:color w:val="auto"/>
        </w:rPr>
      </w:pPr>
    </w:p>
    <w:p>
      <w:pPr>
        <w:sectPr>
          <w:pgSz w:w="11900" w:h="16838" w:orient="portrait"/>
          <w:cols w:equalWidth="0" w:num="2">
            <w:col w:w="2860" w:space="720"/>
            <w:col w:w="7660"/>
          </w:cols>
          <w:pgMar w:left="320" w:top="630" w:right="339" w:bottom="1440" w:gutter="0" w:footer="0" w:header="0"/>
          <w:type w:val="continuous"/>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630" w:right="3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2383155"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23831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17145</wp:posOffset>
            </wp:positionV>
            <wp:extent cx="1645920" cy="2160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64592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Zevra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Federal Street, 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02110</w:t>
      </w:r>
    </w:p>
    <w:p>
      <w:pPr>
        <w:spacing w:after="0" w:line="20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Re:</w:t>
        <w:tab/>
        <w:t>Registration Statement on Form S-8; 2,274,191 shares of Zevra Therapeutics, Inc. Common Stock, $0.0001 par value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acted as special counsel to Zevra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and filing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issuance by the Company of up to 2,274,191 shares of common stock of the Company, $0.0001 par value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issuable under the Zevra Therapeutics, Inc. Amended and Restated 2014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This opinion is being furnished in connection with the requirements of Item 601(b)(5) of Regulation S-K under the Act, and no opinion is expressed herein as to any matter pertaining to the contents of the Registration Statement or the prospectus forming a part thereof, other than as expressly stated herein with respect to the issuance of the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only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we express no opinion with respect to any other laws.</w:t>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recipients thereof, and have been issued by the Company for legal consideration in excess of par value in the circumstances contemplated by the Plan, assuming in each case that the individual grants or awards under the Plan are duly authorized by all necessary corporate action and duly granted or awarded and exercised in accordance with the requirements of law and the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/s/ Latham &amp; Watkins LLP</w:t>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Amended and Restated 2014 Equity Incentive Plan of Zevra Therapeutics, Inc. of our report dated March 9, 2026, with respect to the consolidated financial statements of Zevra Therapeutics, Inc. included in its Annual Report (Form 10-K) for the year ended December 31, 2025, filed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2026</w:t>
      </w:r>
    </w:p>
    <w:p>
      <w:pPr>
        <w:sectPr>
          <w:pgSz w:w="11900" w:h="16838" w:orient="portrait"/>
          <w:cols w:equalWidth="0" w:num="1">
            <w:col w:w="11240"/>
          </w:cols>
          <w:pgMar w:left="320" w:top="117" w:right="339" w:bottom="1440" w:gutter="0" w:footer="0" w:header="0"/>
        </w:sectPr>
      </w:pPr>
    </w:p>
    <w:bookmarkStart w:id="8" w:name="page9"/>
    <w:bookmarkEnd w:id="8"/>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CALCULATION OF FILING FEE TABLE</w:t>
      </w: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 Type)</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Zevra Therapeutics,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Table I: Newly Registered Securities</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760" w:type="dxa"/>
            <w:vAlign w:val="bottom"/>
            <w:tcBorders>
              <w:top w:val="single" w:sz="8" w:color="auto"/>
              <w:left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50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1220" w:type="dxa"/>
            <w:vAlign w:val="bottom"/>
            <w:tcBorders>
              <w:top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Proposed</w:t>
            </w:r>
          </w:p>
        </w:tc>
        <w:tc>
          <w:tcPr>
            <w:tcW w:w="130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16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68"/>
        </w:trPr>
        <w:tc>
          <w:tcPr>
            <w:tcW w:w="1760" w:type="dxa"/>
            <w:vAlign w:val="bottom"/>
            <w:tcBorders>
              <w:left w:val="single" w:sz="8" w:color="auto"/>
              <w:right w:val="single" w:sz="8" w:color="auto"/>
            </w:tcBorders>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800" w:type="dxa"/>
            <w:vAlign w:val="bottom"/>
            <w:tcBorders>
              <w:right w:val="single" w:sz="8" w:color="auto"/>
            </w:tcBorders>
            <w:vMerge w:val="continue"/>
          </w:tcPr>
          <w:p>
            <w:pPr>
              <w:spacing w:after="0"/>
              <w:rPr>
                <w:sz w:val="5"/>
                <w:szCs w:val="5"/>
                <w:color w:val="auto"/>
              </w:rPr>
            </w:pPr>
          </w:p>
        </w:tc>
        <w:tc>
          <w:tcPr>
            <w:tcW w:w="15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6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gridSpan w:val="2"/>
            <w:vMerge w:val="continue"/>
          </w:tcPr>
          <w:p>
            <w:pPr>
              <w:spacing w:after="0"/>
              <w:rPr>
                <w:sz w:val="5"/>
                <w:szCs w:val="5"/>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Offering</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Offering</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1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760" w:type="dxa"/>
            <w:vAlign w:val="bottom"/>
            <w:tcBorders>
              <w:left w:val="single" w:sz="8" w:color="auto"/>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ind w:left="240"/>
              <w:spacing w:after="0" w:line="135" w:lineRule="exact"/>
              <w:rPr>
                <w:sz w:val="20"/>
                <w:szCs w:val="20"/>
                <w:color w:val="auto"/>
              </w:rPr>
            </w:pPr>
            <w:r>
              <w:rPr>
                <w:rFonts w:ascii="Times New Roman" w:cs="Times New Roman" w:eastAsia="Times New Roman" w:hAnsi="Times New Roman"/>
                <w:sz w:val="14"/>
                <w:szCs w:val="14"/>
                <w:b w:val="1"/>
                <w:bCs w:val="1"/>
                <w:color w:val="auto"/>
              </w:rPr>
              <w:t>Type</w:t>
            </w:r>
          </w:p>
        </w:tc>
        <w:tc>
          <w:tcPr>
            <w:tcW w:w="15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Rule</w:t>
            </w:r>
          </w:p>
        </w:tc>
        <w:tc>
          <w:tcPr>
            <w:tcW w:w="12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9"/>
                <w:szCs w:val="9"/>
                <w:b w:val="1"/>
                <w:bCs w:val="1"/>
                <w:color w:val="auto"/>
              </w:rPr>
              <w:t>(1)</w:t>
            </w:r>
          </w:p>
        </w:tc>
        <w:tc>
          <w:tcPr>
            <w:tcW w:w="128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48"/>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 Unit</w:t>
            </w:r>
          </w:p>
        </w:tc>
        <w:tc>
          <w:tcPr>
            <w:tcW w:w="130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1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760" w:type="dxa"/>
            <w:vAlign w:val="bottom"/>
            <w:tcBorders>
              <w:left w:val="single" w:sz="8" w:color="auto"/>
              <w:right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rPr>
              <w:t>Amended and Restated 2014</w:t>
            </w:r>
          </w:p>
        </w:tc>
        <w:tc>
          <w:tcPr>
            <w:tcW w:w="80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Common Stock, par</w:t>
            </w:r>
          </w:p>
        </w:tc>
        <w:tc>
          <w:tcPr>
            <w:tcW w:w="106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Borders>
              <w:right w:val="single" w:sz="8" w:color="auto"/>
            </w:tcBorders>
          </w:tcPr>
          <w:p>
            <w:pPr>
              <w:jc w:val="right"/>
              <w:ind w:right="233"/>
              <w:spacing w:after="0"/>
              <w:rPr>
                <w:sz w:val="20"/>
                <w:szCs w:val="20"/>
                <w:color w:val="auto"/>
              </w:rPr>
            </w:pPr>
            <w:r>
              <w:rPr>
                <w:rFonts w:ascii="Times New Roman" w:cs="Times New Roman" w:eastAsia="Times New Roman" w:hAnsi="Times New Roman"/>
                <w:sz w:val="9"/>
                <w:szCs w:val="9"/>
                <w:color w:val="auto"/>
                <w:w w:val="94"/>
              </w:rPr>
              <w:t>(2)</w:t>
            </w:r>
          </w:p>
        </w:tc>
        <w:tc>
          <w:tcPr>
            <w:tcW w:w="1280" w:type="dxa"/>
            <w:vAlign w:val="bottom"/>
            <w:tcBorders>
              <w:right w:val="single" w:sz="8" w:color="auto"/>
            </w:tcBorders>
          </w:tcPr>
          <w:p>
            <w:pPr>
              <w:jc w:val="right"/>
              <w:ind w:right="373"/>
              <w:spacing w:after="0"/>
              <w:rPr>
                <w:sz w:val="20"/>
                <w:szCs w:val="20"/>
                <w:color w:val="auto"/>
              </w:rPr>
            </w:pPr>
            <w:r>
              <w:rPr>
                <w:rFonts w:ascii="Times New Roman" w:cs="Times New Roman" w:eastAsia="Times New Roman" w:hAnsi="Times New Roman"/>
                <w:sz w:val="9"/>
                <w:szCs w:val="9"/>
                <w:color w:val="auto"/>
              </w:rPr>
              <w:t>(3)</w:t>
            </w:r>
          </w:p>
        </w:tc>
        <w:tc>
          <w:tcPr>
            <w:tcW w:w="13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$138.10 per</w:t>
            </w:r>
          </w:p>
        </w:tc>
        <w:tc>
          <w:tcPr>
            <w:tcW w:w="1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Equity Incentive Plan</w:t>
            </w:r>
          </w:p>
        </w:tc>
        <w:tc>
          <w:tcPr>
            <w:tcW w:w="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Equity</w:t>
            </w: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value $0.0001 per share</w:t>
            </w:r>
          </w:p>
        </w:tc>
        <w:tc>
          <w:tcPr>
            <w:tcW w:w="1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Rule 457(a)</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2,274,191</w:t>
            </w:r>
          </w:p>
        </w:tc>
        <w:tc>
          <w:tcPr>
            <w:tcW w:w="4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$8.71</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19,808,204</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million dollars</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$2,735.52</w:t>
            </w:r>
          </w:p>
        </w:tc>
        <w:tc>
          <w:tcPr>
            <w:tcW w:w="0" w:type="dxa"/>
            <w:vAlign w:val="bottom"/>
          </w:tcPr>
          <w:p>
            <w:pPr>
              <w:spacing w:after="0"/>
              <w:rPr>
                <w:sz w:val="1"/>
                <w:szCs w:val="1"/>
                <w:color w:val="auto"/>
              </w:rPr>
            </w:pPr>
          </w:p>
        </w:tc>
      </w:tr>
      <w:tr>
        <w:trPr>
          <w:trHeight w:val="37"/>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60" w:type="dxa"/>
            <w:vAlign w:val="bottom"/>
            <w:tcBorders>
              <w:left w:val="single" w:sz="8" w:color="auto"/>
              <w:right w:val="single" w:sz="8" w:color="auto"/>
            </w:tcBorders>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06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19,808,204</w:t>
            </w:r>
          </w:p>
        </w:tc>
        <w:tc>
          <w:tcPr>
            <w:tcW w:w="116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$2,735.52</w:t>
            </w:r>
          </w:p>
        </w:tc>
        <w:tc>
          <w:tcPr>
            <w:tcW w:w="0" w:type="dxa"/>
            <w:vAlign w:val="bottom"/>
          </w:tcPr>
          <w:p>
            <w:pPr>
              <w:spacing w:after="0"/>
              <w:rPr>
                <w:sz w:val="1"/>
                <w:szCs w:val="1"/>
                <w:color w:val="auto"/>
              </w:rPr>
            </w:pPr>
          </w:p>
        </w:tc>
      </w:tr>
      <w:tr>
        <w:trPr>
          <w:trHeight w:val="37"/>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60" w:type="dxa"/>
            <w:vAlign w:val="bottom"/>
            <w:tcBorders>
              <w:left w:val="single" w:sz="8" w:color="auto"/>
              <w:right w:val="single" w:sz="8" w:color="auto"/>
            </w:tcBorders>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06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0" w:type="dxa"/>
            <w:vAlign w:val="bottom"/>
          </w:tcPr>
          <w:p>
            <w:pPr>
              <w:spacing w:after="0"/>
              <w:rPr>
                <w:sz w:val="1"/>
                <w:szCs w:val="1"/>
                <w:color w:val="auto"/>
              </w:rPr>
            </w:pPr>
          </w:p>
        </w:tc>
      </w:tr>
      <w:tr>
        <w:trPr>
          <w:trHeight w:val="37"/>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760" w:type="dxa"/>
            <w:vAlign w:val="bottom"/>
            <w:tcBorders>
              <w:left w:val="single" w:sz="8" w:color="auto"/>
              <w:right w:val="single" w:sz="8" w:color="auto"/>
            </w:tcBorders>
          </w:tcPr>
          <w:p>
            <w:pPr>
              <w:spacing w:after="0"/>
              <w:rPr>
                <w:sz w:val="16"/>
                <w:szCs w:val="16"/>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50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$2,735.52</w:t>
            </w:r>
          </w:p>
        </w:tc>
        <w:tc>
          <w:tcPr>
            <w:tcW w:w="0" w:type="dxa"/>
            <w:vAlign w:val="bottom"/>
          </w:tcPr>
          <w:p>
            <w:pPr>
              <w:spacing w:after="0"/>
              <w:rPr>
                <w:sz w:val="1"/>
                <w:szCs w:val="1"/>
                <w:color w:val="auto"/>
              </w:rPr>
            </w:pPr>
          </w:p>
        </w:tc>
      </w:tr>
      <w:tr>
        <w:trPr>
          <w:trHeight w:val="37"/>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left="340" w:right="20" w:hanging="332"/>
        <w:spacing w:after="0" w:line="255" w:lineRule="auto"/>
        <w:tabs>
          <w:tab w:leader="none" w:pos="28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416(a) under the Securities Act of 1933, as amended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be deemed to cover any additional securities that may from time to time be offered or issued under the Zevra Therapeutics, Inc. Amended and Restated 2014 Equity Incentive Plan (the “</w:t>
      </w:r>
      <w:r>
        <w:rPr>
          <w:rFonts w:ascii="Times New Roman" w:cs="Times New Roman" w:eastAsia="Times New Roman" w:hAnsi="Times New Roman"/>
          <w:sz w:val="18"/>
          <w:szCs w:val="18"/>
          <w:b w:val="1"/>
          <w:bCs w:val="1"/>
          <w:i w:val="1"/>
          <w:iCs w:val="1"/>
          <w:color w:val="auto"/>
        </w:rPr>
        <w:t>A&amp;R 2014 Plan</w:t>
      </w:r>
      <w:r>
        <w:rPr>
          <w:rFonts w:ascii="Times New Roman" w:cs="Times New Roman" w:eastAsia="Times New Roman" w:hAnsi="Times New Roman"/>
          <w:sz w:val="18"/>
          <w:szCs w:val="18"/>
          <w:color w:val="auto"/>
        </w:rPr>
        <w:t>”) to prevent dilution resulting from stock splits, stock dividends or similar transactions. In addition, pursuant to Rule 416(c) under the Securities Act, this registration statement also covers an indeterminate amount of interests to be offered or sold pursuant to the A&amp;R 2014 Plan.</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2,274,191 shares of Common Stock that may become issuable under the A&amp;R 2014 Plan pursuant to its terms.</w:t>
      </w:r>
    </w:p>
    <w:p>
      <w:pPr>
        <w:spacing w:after="0" w:line="9" w:lineRule="exact"/>
        <w:rPr>
          <w:rFonts w:ascii="Times New Roman" w:cs="Times New Roman" w:eastAsia="Times New Roman" w:hAnsi="Times New Roman"/>
          <w:sz w:val="18"/>
          <w:szCs w:val="18"/>
          <w:color w:val="auto"/>
        </w:rPr>
      </w:pPr>
    </w:p>
    <w:p>
      <w:pPr>
        <w:ind w:left="340" w:right="40" w:hanging="332"/>
        <w:spacing w:after="0" w:line="260" w:lineRule="auto"/>
        <w:tabs>
          <w:tab w:leader="none" w:pos="27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of 1933, as amended, and based upon the average of the high and low prices of the Common Stock as reported on The Nasdaq Global Select Market on March 6, 2026.</w:t>
      </w:r>
    </w:p>
    <w:sectPr>
      <w:pgSz w:w="11900" w:h="16838" w:orient="portrait"/>
      <w:cols w:equalWidth="0" w:num="1">
        <w:col w:w="11260"/>
      </w:cols>
      <w:pgMar w:left="320" w:top="1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jpeg"/><Relationship Id="rId38" Type="http://schemas.openxmlformats.org/officeDocument/2006/relationships/image" Target="media/image20.jpeg"/><Relationship Id="rId14" Type="http://schemas.openxmlformats.org/officeDocument/2006/relationships/hyperlink" Target="https://www.sec.gov/Archives/edgar/data/1434647/000143774921002025/kmph20210202_s8.htm" TargetMode="External"/><Relationship Id="rId15" Type="http://schemas.openxmlformats.org/officeDocument/2006/relationships/hyperlink" Target="https://www.sec.gov/Archives/edgar/data/1434647/000119312521200486/d13864ds8.htm" TargetMode="External"/><Relationship Id="rId16" Type="http://schemas.openxmlformats.org/officeDocument/2006/relationships/hyperlink" Target="https://www.sec.gov/Archives/edgar/data/1434647/000143774923005706/kmph20230217_s8.htm" TargetMode="External"/><Relationship Id="rId17" Type="http://schemas.openxmlformats.org/officeDocument/2006/relationships/hyperlink" Target="https://www.sec.gov/Archives/edgar/data/1434647/000143774924010450/zvra20230816_s8.htm" TargetMode="External"/><Relationship Id="rId18" Type="http://schemas.openxmlformats.org/officeDocument/2006/relationships/hyperlink" Target="https://www.sec.gov/Archives/edgar/data/1434647/000143774925007343/zvra20250228_s8.htm" TargetMode="External"/><Relationship Id="rId20" Type="http://schemas.openxmlformats.org/officeDocument/2006/relationships/hyperlink" Target="https://www.sec.gov/Archives/edgar/data/1434647/000143464726000011/zvra-20251231xex31restated.htm" TargetMode="External"/><Relationship Id="rId21" Type="http://schemas.openxmlformats.org/officeDocument/2006/relationships/hyperlink" Target="https://www.sec.gov/Archives/edgar/data/1434647/000143774924005904/ex_632349.htm" TargetMode="External"/><Relationship Id="rId22" Type="http://schemas.openxmlformats.org/officeDocument/2006/relationships/hyperlink" Target="https://www.sec.gov/Archives/edgar/data/1434647/000143774921019912/ex_272734.htm" TargetMode="External"/><Relationship Id="rId23" Type="http://schemas.openxmlformats.org/officeDocument/2006/relationships/hyperlink" Target="https://www.sec.gov/Archives/edgar/data/1434647/000119312515087360/d793437dex1015.htm" TargetMode="External"/><Relationship Id="rId24" Type="http://schemas.openxmlformats.org/officeDocument/2006/relationships/hyperlink" Target="https://www.sec.gov/Archives/edgar/data/1434647/000119312515087360/d793437dex1016.htm" TargetMode="External"/><Relationship Id="rId25" Type="http://schemas.openxmlformats.org/officeDocument/2006/relationships/hyperlink" Target="https://www.sec.gov/Archives/edgar/data/1434647/000143774919009870/ex_1448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2026-03-09T15:30:26Z</dcterms:created>
  <dcterms:modified xsi:type="dcterms:W3CDTF">2026-03-09T15:30:26Z</dcterms:modified>
</cp:coreProperties>
</file>